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EE" w:rsidRDefault="00510750">
      <w:r w:rsidRPr="00510750">
        <w:drawing>
          <wp:inline distT="0" distB="0" distL="0" distR="0">
            <wp:extent cx="5450097" cy="3243533"/>
            <wp:effectExtent l="19050" t="0" r="0" b="0"/>
            <wp:docPr id="25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C63EE" w:rsidSect="00C826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10750"/>
    <w:rsid w:val="00410A8A"/>
    <w:rsid w:val="00510750"/>
    <w:rsid w:val="00735869"/>
    <w:rsid w:val="00C82600"/>
    <w:rsid w:val="00F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260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10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e%20und%20Einstellungen\joerg.reichel\Lokale%20Einstellungen\Temporary%20Internet%20Files\Content.Outlook\07B83ES7\VTFF-Erh&#246;hung_2001-20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roundedCorners val="1"/>
  <c:style val="1"/>
  <c:chart>
    <c:title>
      <c:tx>
        <c:rich>
          <a:bodyPr/>
          <a:lstStyle/>
          <a:p>
            <a:pPr>
              <a:defRPr/>
            </a:pPr>
            <a:r>
              <a:rPr lang="de-DE" sz="1600" b="0"/>
              <a:t>Faktencheck:</a:t>
            </a:r>
            <a:r>
              <a:rPr lang="de-DE" sz="1600" b="0" baseline="0"/>
              <a:t> Tariferhöhung VTFF - Inflationsrate</a:t>
            </a:r>
            <a:endParaRPr lang="de-DE" sz="1600" b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Tabelle1!$E$4</c:f>
              <c:strCache>
                <c:ptCount val="1"/>
                <c:pt idx="0">
                  <c:v>VTFF-Tariferhöhung</c:v>
                </c:pt>
              </c:strCache>
            </c:strRef>
          </c:tx>
          <c:spPr>
            <a:ln>
              <a:prstDash val="sysDash"/>
              <a:tailEnd type="none"/>
            </a:ln>
          </c:spPr>
          <c:marker>
            <c:symbol val="none"/>
          </c:marker>
          <c:cat>
            <c:numRef>
              <c:f>Tabelle1!$D$5:$D$15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Tabelle1!$E$5:$E$15</c:f>
              <c:numCache>
                <c:formatCode>0.0%</c:formatCode>
                <c:ptCount val="11"/>
                <c:pt idx="0">
                  <c:v>3.0000000000000002E-2</c:v>
                </c:pt>
                <c:pt idx="1">
                  <c:v>3.0000000000000002E-2</c:v>
                </c:pt>
                <c:pt idx="2">
                  <c:v>1.4999999999999998E-2</c:v>
                </c:pt>
                <c:pt idx="3">
                  <c:v>0</c:v>
                </c:pt>
                <c:pt idx="4">
                  <c:v>1.4999999999999998E-2</c:v>
                </c:pt>
                <c:pt idx="5">
                  <c:v>1.4999999999999998E-2</c:v>
                </c:pt>
                <c:pt idx="6">
                  <c:v>0</c:v>
                </c:pt>
                <c:pt idx="7">
                  <c:v>2.1999999999999999E-2</c:v>
                </c:pt>
                <c:pt idx="8">
                  <c:v>2.0000000000000011E-2</c:v>
                </c:pt>
                <c:pt idx="9">
                  <c:v>8.0000000000000106E-3</c:v>
                </c:pt>
                <c:pt idx="10">
                  <c:v>8.0000000000000106E-3</c:v>
                </c:pt>
              </c:numCache>
            </c:numRef>
          </c:val>
        </c:ser>
        <c:ser>
          <c:idx val="1"/>
          <c:order val="1"/>
          <c:tx>
            <c:strRef>
              <c:f>Tabelle1!$F$4</c:f>
              <c:strCache>
                <c:ptCount val="1"/>
                <c:pt idx="0">
                  <c:v>Inflationsrate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dPt>
            <c:idx val="10"/>
            <c:spPr>
              <a:ln w="25400">
                <a:solidFill>
                  <a:prstClr val="black"/>
                </a:solidFill>
                <a:tailEnd type="triangle"/>
              </a:ln>
            </c:spPr>
          </c:dPt>
          <c:cat>
            <c:numRef>
              <c:f>Tabelle1!$D$5:$D$15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Tabelle1!$F$5:$F$15</c:f>
              <c:numCache>
                <c:formatCode>0.0%</c:formatCode>
                <c:ptCount val="11"/>
                <c:pt idx="0">
                  <c:v>1.9417475728155321E-2</c:v>
                </c:pt>
                <c:pt idx="1">
                  <c:v>1.4814814814814959E-2</c:v>
                </c:pt>
                <c:pt idx="2">
                  <c:v>1.0427528675703868E-2</c:v>
                </c:pt>
                <c:pt idx="3">
                  <c:v>1.6511867905056619E-2</c:v>
                </c:pt>
                <c:pt idx="4">
                  <c:v>1.5228426395939052E-2</c:v>
                </c:pt>
                <c:pt idx="5">
                  <c:v>1.5999999999999938E-2</c:v>
                </c:pt>
                <c:pt idx="6">
                  <c:v>2.2637795275590698E-2</c:v>
                </c:pt>
                <c:pt idx="7">
                  <c:v>2.5986525505293397E-2</c:v>
                </c:pt>
                <c:pt idx="8">
                  <c:v>3.7523452157600446E-3</c:v>
                </c:pt>
                <c:pt idx="9">
                  <c:v>9.0000000000000028E-3</c:v>
                </c:pt>
                <c:pt idx="10">
                  <c:v>1.0000000000000005E-2</c:v>
                </c:pt>
              </c:numCache>
            </c:numRef>
          </c:val>
        </c:ser>
        <c:marker val="1"/>
        <c:axId val="130665472"/>
        <c:axId val="131699072"/>
      </c:lineChart>
      <c:catAx>
        <c:axId val="130665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3180000" vert="horz"/>
          <a:lstStyle/>
          <a:p>
            <a:pPr>
              <a:defRPr/>
            </a:pPr>
            <a:endParaRPr lang="de-DE"/>
          </a:p>
        </c:txPr>
        <c:crossAx val="131699072"/>
        <c:crosses val="autoZero"/>
        <c:auto val="1"/>
        <c:lblAlgn val="ctr"/>
        <c:lblOffset val="100"/>
      </c:catAx>
      <c:valAx>
        <c:axId val="131699072"/>
        <c:scaling>
          <c:orientation val="minMax"/>
        </c:scaling>
        <c:axPos val="l"/>
        <c:majorGridlines>
          <c:spPr>
            <a:ln>
              <a:solidFill>
                <a:prstClr val="black">
                  <a:tint val="55000"/>
                  <a:shade val="95000"/>
                  <a:satMod val="105000"/>
                  <a:alpha val="20000"/>
                </a:prstClr>
              </a:solidFill>
            </a:ln>
          </c:spPr>
        </c:majorGridlines>
        <c:title>
          <c:spPr>
            <a:noFill/>
          </c:spPr>
        </c:title>
        <c:numFmt formatCode="0.0%" sourceLinked="1"/>
        <c:majorTickMark val="none"/>
        <c:tickLblPos val="nextTo"/>
        <c:crossAx val="130665472"/>
        <c:crosses val="autoZero"/>
        <c:crossBetween val="between"/>
      </c:valAx>
    </c:plotArea>
    <c:legend>
      <c:legendPos val="r"/>
    </c:legend>
    <c:plotVisOnly val="1"/>
  </c:chart>
  <c:spPr>
    <a:ln>
      <a:noFill/>
    </a:ln>
    <a:effectLst>
      <a:outerShdw blurRad="50800" sx="1000" sy="1000" algn="ctr" rotWithShape="0">
        <a:srgbClr val="000000"/>
      </a:outerShdw>
    </a:effectLst>
  </c:sp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connexx.av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Reichel</dc:creator>
  <cp:keywords/>
  <dc:description/>
  <cp:lastModifiedBy>Joerg Reichel</cp:lastModifiedBy>
  <cp:revision>1</cp:revision>
  <dcterms:created xsi:type="dcterms:W3CDTF">2010-05-10T15:53:00Z</dcterms:created>
  <dcterms:modified xsi:type="dcterms:W3CDTF">2010-05-10T15:54:00Z</dcterms:modified>
</cp:coreProperties>
</file>